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0F" w:rsidRDefault="00333876">
      <w:pPr>
        <w:pStyle w:val="a3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578859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9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spacing w:before="10"/>
        <w:rPr>
          <w:rFonts w:ascii="Times New Roman"/>
          <w:sz w:val="16"/>
        </w:rPr>
      </w:pPr>
    </w:p>
    <w:p w:rsidR="0009560F" w:rsidRDefault="00333876">
      <w:pPr>
        <w:pStyle w:val="a4"/>
      </w:pPr>
      <w:r>
        <w:rPr>
          <w:color w:val="404040"/>
        </w:rPr>
        <w:t>ПОЛНЫЕ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-3"/>
        </w:rPr>
        <w:t xml:space="preserve"> </w:t>
      </w:r>
      <w:r w:rsidR="00126C5D">
        <w:rPr>
          <w:color w:val="404040"/>
        </w:rPr>
        <w:t>350</w:t>
      </w:r>
      <w:r>
        <w:rPr>
          <w:color w:val="404040"/>
        </w:rPr>
        <w:t>»</w:t>
      </w:r>
    </w:p>
    <w:p w:rsidR="0009560F" w:rsidRDefault="0009560F">
      <w:pPr>
        <w:pStyle w:val="a3"/>
        <w:rPr>
          <w:b/>
        </w:r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28" w:hanging="360"/>
        <w:jc w:val="both"/>
      </w:pPr>
      <w:r>
        <w:rPr>
          <w:color w:val="404040"/>
        </w:rPr>
        <w:t>Тариф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предложение,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подразумевающее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оказание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услуг: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71" w:lineRule="exact"/>
      </w:pPr>
      <w:proofErr w:type="spellStart"/>
      <w:r>
        <w:rPr>
          <w:color w:val="404040"/>
        </w:rPr>
        <w:t>телематических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Интернет);</w:t>
      </w:r>
    </w:p>
    <w:p w:rsidR="0009560F" w:rsidRDefault="009A3ED2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proofErr w:type="spellStart"/>
      <w:r>
        <w:rPr>
          <w:color w:val="404040"/>
        </w:rPr>
        <w:t>Т</w:t>
      </w:r>
      <w:r w:rsidR="006213AD">
        <w:rPr>
          <w:color w:val="404040"/>
        </w:rPr>
        <w:t>елематические</w:t>
      </w:r>
      <w:proofErr w:type="spellEnd"/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услуги</w:t>
      </w:r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связи</w:t>
      </w:r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(доступ</w:t>
      </w:r>
      <w:r w:rsidR="006213AD">
        <w:rPr>
          <w:color w:val="404040"/>
          <w:spacing w:val="-5"/>
        </w:rPr>
        <w:t xml:space="preserve"> </w:t>
      </w:r>
      <w:r w:rsidR="006213AD">
        <w:rPr>
          <w:color w:val="404040"/>
        </w:rPr>
        <w:t>в</w:t>
      </w:r>
      <w:r w:rsidR="006213AD">
        <w:rPr>
          <w:color w:val="404040"/>
          <w:spacing w:val="-4"/>
        </w:rPr>
        <w:t xml:space="preserve"> </w:t>
      </w:r>
      <w:r w:rsidR="006213AD">
        <w:rPr>
          <w:color w:val="404040"/>
        </w:rPr>
        <w:t xml:space="preserve">Интернет) </w:t>
      </w:r>
      <w:r w:rsidR="00333876">
        <w:rPr>
          <w:color w:val="404040"/>
        </w:rPr>
        <w:t>«Продвинутый</w:t>
      </w:r>
      <w:r w:rsidR="00333876">
        <w:rPr>
          <w:color w:val="404040"/>
          <w:spacing w:val="-5"/>
        </w:rPr>
        <w:t xml:space="preserve"> </w:t>
      </w:r>
      <w:r>
        <w:rPr>
          <w:color w:val="404040"/>
        </w:rPr>
        <w:t>350</w:t>
      </w:r>
      <w:r w:rsidR="00333876">
        <w:rPr>
          <w:color w:val="404040"/>
        </w:rPr>
        <w:t>»</w:t>
      </w:r>
      <w:r w:rsidR="00333876">
        <w:rPr>
          <w:color w:val="404040"/>
          <w:spacing w:val="-2"/>
        </w:rPr>
        <w:t xml:space="preserve"> </w:t>
      </w:r>
      <w:r w:rsidR="00333876">
        <w:rPr>
          <w:color w:val="404040"/>
        </w:rPr>
        <w:t>оказыва</w:t>
      </w:r>
      <w:r w:rsidR="00435416">
        <w:rPr>
          <w:color w:val="404040"/>
        </w:rPr>
        <w:t>ю</w:t>
      </w:r>
      <w:r w:rsidR="00333876">
        <w:rPr>
          <w:color w:val="404040"/>
        </w:rPr>
        <w:t>тся</w:t>
      </w:r>
      <w:r w:rsidR="00333876">
        <w:rPr>
          <w:color w:val="404040"/>
          <w:spacing w:val="-6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абоненту,</w:t>
      </w:r>
      <w:r w:rsidR="00333876">
        <w:rPr>
          <w:color w:val="404040"/>
          <w:spacing w:val="-4"/>
        </w:rPr>
        <w:t xml:space="preserve"> </w:t>
      </w:r>
      <w:r w:rsidR="00333876">
        <w:rPr>
          <w:color w:val="404040"/>
        </w:rPr>
        <w:t>по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2"/>
        </w:rPr>
        <w:t xml:space="preserve"> </w:t>
      </w:r>
      <w:r w:rsidR="00333876">
        <w:rPr>
          <w:color w:val="404040"/>
        </w:rPr>
        <w:t>адресу.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9" w:hanging="360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 w:rsidR="00D007F5">
        <w:rPr>
          <w:color w:val="404040"/>
        </w:rPr>
        <w:t xml:space="preserve"> предоставляе</w:t>
      </w:r>
      <w:r>
        <w:rPr>
          <w:color w:val="404040"/>
        </w:rPr>
        <w:t>тся только абонентам – физическим лицам, использующим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для личного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пользования, не связанного с предпринимательской либо иной экономической 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деятельностью.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7" w:lineRule="exact"/>
        <w:ind w:left="808" w:hanging="349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предоставля</w:t>
      </w:r>
      <w:r w:rsidR="006213AD">
        <w:rPr>
          <w:color w:val="404040"/>
        </w:rPr>
        <w:t>е</w:t>
      </w:r>
      <w:r>
        <w:rPr>
          <w:color w:val="404040"/>
        </w:rPr>
        <w:t>тся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адресам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наличием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-6"/>
        </w:rPr>
        <w:t xml:space="preserve"> </w:t>
      </w:r>
      <w:proofErr w:type="gramStart"/>
      <w:r>
        <w:rPr>
          <w:color w:val="404040"/>
        </w:rPr>
        <w:t>подключения.*</w:t>
      </w:r>
      <w:proofErr w:type="gramEnd"/>
    </w:p>
    <w:p w:rsidR="0009560F" w:rsidRPr="009A3ED2" w:rsidRDefault="00333876">
      <w:pPr>
        <w:pStyle w:val="a5"/>
        <w:numPr>
          <w:ilvl w:val="0"/>
          <w:numId w:val="2"/>
        </w:numPr>
        <w:tabs>
          <w:tab w:val="left" w:pos="857"/>
        </w:tabs>
        <w:ind w:right="119" w:hanging="360"/>
        <w:jc w:val="both"/>
      </w:pPr>
      <w:r>
        <w:rPr>
          <w:color w:val="404040"/>
        </w:rPr>
        <w:t>Абонентская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1"/>
        </w:rPr>
        <w:t xml:space="preserve"> </w:t>
      </w:r>
      <w:r w:rsidR="00D007F5">
        <w:rPr>
          <w:color w:val="404040"/>
        </w:rPr>
        <w:t>65</w:t>
      </w:r>
      <w:r w:rsidR="009A3ED2">
        <w:rPr>
          <w:color w:val="404040"/>
        </w:rPr>
        <w:t>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D007F5">
        <w:rPr>
          <w:color w:val="404040"/>
        </w:rPr>
        <w:t>шест</w:t>
      </w:r>
      <w:r w:rsidR="009A3ED2">
        <w:rPr>
          <w:color w:val="404040"/>
        </w:rPr>
        <w:t>ьсот пятьдесят</w:t>
      </w:r>
      <w:r>
        <w:rPr>
          <w:color w:val="404040"/>
        </w:rPr>
        <w:t>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месяц, включая НДС, и является фиксированной величиной. </w:t>
      </w:r>
    </w:p>
    <w:p w:rsidR="009A3ED2" w:rsidRDefault="009A3ED2" w:rsidP="009B22C3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 w:rsidRPr="004C370E">
        <w:rPr>
          <w:color w:val="404040"/>
        </w:rPr>
        <w:t>Абонентская плата 0</w:t>
      </w:r>
      <w:r>
        <w:rPr>
          <w:color w:val="404040"/>
        </w:rPr>
        <w:t xml:space="preserve"> (ноль)</w:t>
      </w:r>
      <w:r w:rsidRPr="004C370E">
        <w:rPr>
          <w:color w:val="404040"/>
        </w:rPr>
        <w:t xml:space="preserve"> руб</w:t>
      </w:r>
      <w:r>
        <w:rPr>
          <w:color w:val="404040"/>
        </w:rPr>
        <w:t>лей</w:t>
      </w:r>
      <w:r w:rsidRPr="004C370E">
        <w:rPr>
          <w:color w:val="404040"/>
        </w:rPr>
        <w:t xml:space="preserve"> действует в течение первых </w:t>
      </w:r>
      <w:r>
        <w:rPr>
          <w:color w:val="404040"/>
        </w:rPr>
        <w:t>3</w:t>
      </w:r>
      <w:r w:rsidRPr="004C370E">
        <w:rPr>
          <w:color w:val="404040"/>
        </w:rPr>
        <w:t>0 дней с момента подключения</w:t>
      </w:r>
      <w:r>
        <w:rPr>
          <w:color w:val="404040"/>
        </w:rPr>
        <w:t xml:space="preserve"> только для новых абонентов,</w:t>
      </w:r>
      <w:r w:rsidRPr="004C370E">
        <w:rPr>
          <w:color w:val="404040"/>
        </w:rPr>
        <w:t xml:space="preserve"> </w:t>
      </w:r>
      <w:r>
        <w:rPr>
          <w:color w:val="404040"/>
        </w:rPr>
        <w:t>д</w:t>
      </w:r>
      <w:r w:rsidRPr="004C370E">
        <w:rPr>
          <w:color w:val="404040"/>
        </w:rPr>
        <w:t>алее стоимость на тарифе «</w:t>
      </w:r>
      <w:r>
        <w:rPr>
          <w:color w:val="404040"/>
        </w:rPr>
        <w:t>Продвинутый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350</w:t>
      </w:r>
      <w:r w:rsidRPr="004C370E">
        <w:rPr>
          <w:color w:val="404040"/>
        </w:rPr>
        <w:t>» составит</w:t>
      </w:r>
      <w:r w:rsidR="00D007F5">
        <w:rPr>
          <w:color w:val="404040"/>
        </w:rPr>
        <w:t xml:space="preserve"> 6</w:t>
      </w:r>
      <w:r>
        <w:rPr>
          <w:color w:val="404040"/>
        </w:rPr>
        <w:t>50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D007F5">
        <w:rPr>
          <w:color w:val="404040"/>
        </w:rPr>
        <w:t>шестьсот</w:t>
      </w:r>
      <w:r>
        <w:rPr>
          <w:color w:val="404040"/>
        </w:rPr>
        <w:t xml:space="preserve"> пятьдесят)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 w:rsidRPr="004C370E">
        <w:rPr>
          <w:color w:val="404040"/>
        </w:rPr>
        <w:t>.</w:t>
      </w:r>
      <w:bookmarkStart w:id="0" w:name="_GoBack"/>
      <w:bookmarkEnd w:id="0"/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>
        <w:rPr>
          <w:color w:val="404040"/>
        </w:rPr>
        <w:t>Для подключения к тарифу абонент должен внести авансовый платеж за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Оператора в размере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 менее 1 200 (одна тысяча двести) рублей в момент заключения Договора. Вся сумма авансового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платежа будет зачислена на Лицевой Счет абонента и использована для списания абонентской платы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 тарифу. Списание абонентской платы происходит ежедневно, равными долями, пропорционально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количеству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месяце;</w:t>
      </w:r>
      <w:r>
        <w:rPr>
          <w:color w:val="404040"/>
          <w:spacing w:val="1"/>
        </w:rPr>
        <w:t xml:space="preserve"> </w:t>
      </w:r>
      <w:r w:rsidR="00D007F5">
        <w:rPr>
          <w:color w:val="404040"/>
        </w:rPr>
        <w:t>с</w:t>
      </w:r>
      <w:r>
        <w:rPr>
          <w:color w:val="404040"/>
        </w:rPr>
        <w:t>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требуемого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оборудования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прочих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 дополнительно.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тариф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(ноль)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рублей.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before="1" w:line="268" w:lineRule="exact"/>
        <w:ind w:left="808" w:hanging="349"/>
      </w:pPr>
      <w:r>
        <w:rPr>
          <w:color w:val="404040"/>
        </w:rPr>
        <w:t>Для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необходим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GPON-</w:t>
      </w:r>
      <w:proofErr w:type="gramStart"/>
      <w:r>
        <w:rPr>
          <w:color w:val="404040"/>
        </w:rPr>
        <w:t>роутер.*</w:t>
      </w:r>
      <w:proofErr w:type="gramEnd"/>
      <w:r>
        <w:rPr>
          <w:color w:val="404040"/>
        </w:rPr>
        <w:t>*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Оборудование,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необходимое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получения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(GPON-роутер),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приобретен</w:t>
      </w:r>
      <w:r w:rsidR="00D007F5"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действующим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ценам.</w:t>
      </w:r>
    </w:p>
    <w:p w:rsidR="0009560F" w:rsidRDefault="00333876" w:rsidP="0043541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переезде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пользующегося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новый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адрес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с</w:t>
      </w:r>
      <w:r w:rsidR="00435416">
        <w:rPr>
          <w:color w:val="404040"/>
        </w:rPr>
        <w:t xml:space="preserve"> 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отсутствием</w:t>
      </w:r>
      <w:proofErr w:type="gramEnd"/>
      <w:r>
        <w:rPr>
          <w:color w:val="404040"/>
          <w:spacing w:val="35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</w:rPr>
        <w:t>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составляющ</w:t>
      </w:r>
      <w:r w:rsidR="006213AD">
        <w:rPr>
          <w:color w:val="404040"/>
        </w:rPr>
        <w:t>ей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тариф</w:t>
      </w:r>
      <w:r w:rsidR="00435416">
        <w:rPr>
          <w:color w:val="404040"/>
        </w:rPr>
        <w:t xml:space="preserve"> </w:t>
      </w:r>
      <w:r w:rsidRPr="00435416">
        <w:rPr>
          <w:color w:val="404040"/>
        </w:rPr>
        <w:t>«Продвинутый</w:t>
      </w:r>
      <w:r w:rsidRPr="00435416">
        <w:rPr>
          <w:color w:val="404040"/>
          <w:spacing w:val="-6"/>
        </w:rPr>
        <w:t xml:space="preserve"> </w:t>
      </w:r>
      <w:r w:rsidR="00435416" w:rsidRPr="00435416">
        <w:rPr>
          <w:color w:val="404040"/>
        </w:rPr>
        <w:t>350</w:t>
      </w:r>
      <w:r w:rsidRPr="00435416">
        <w:rPr>
          <w:color w:val="404040"/>
        </w:rPr>
        <w:t>»,</w:t>
      </w:r>
      <w:r w:rsidRPr="00435416">
        <w:rPr>
          <w:color w:val="404040"/>
          <w:spacing w:val="-6"/>
        </w:rPr>
        <w:t xml:space="preserve"> </w:t>
      </w:r>
      <w:r w:rsidRPr="00435416">
        <w:rPr>
          <w:color w:val="404040"/>
        </w:rPr>
        <w:t>производится</w:t>
      </w:r>
    </w:p>
    <w:p w:rsidR="0009560F" w:rsidRDefault="00333876" w:rsidP="00435416">
      <w:pPr>
        <w:tabs>
          <w:tab w:val="left" w:pos="1517"/>
        </w:tabs>
        <w:ind w:left="851" w:right="126"/>
      </w:pPr>
      <w:r w:rsidRPr="00435416">
        <w:rPr>
          <w:color w:val="404040"/>
        </w:rPr>
        <w:t>расторжение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договора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–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при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невозможности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переноса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услуги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доступа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к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сети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Интернет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(</w:t>
      </w:r>
      <w:proofErr w:type="spellStart"/>
      <w:r w:rsidRPr="00435416">
        <w:rPr>
          <w:color w:val="404040"/>
        </w:rPr>
        <w:t>телематические</w:t>
      </w:r>
      <w:proofErr w:type="spellEnd"/>
      <w:r w:rsidRPr="00435416">
        <w:rPr>
          <w:color w:val="404040"/>
          <w:spacing w:val="-5"/>
        </w:rPr>
        <w:t xml:space="preserve"> </w:t>
      </w:r>
      <w:r w:rsidRPr="00435416">
        <w:rPr>
          <w:color w:val="404040"/>
        </w:rPr>
        <w:t>услуги</w:t>
      </w:r>
      <w:r w:rsidRPr="00435416">
        <w:rPr>
          <w:color w:val="404040"/>
          <w:spacing w:val="-1"/>
        </w:rPr>
        <w:t xml:space="preserve"> </w:t>
      </w:r>
      <w:r w:rsidRPr="00435416">
        <w:rPr>
          <w:color w:val="404040"/>
        </w:rPr>
        <w:t>связи);</w:t>
      </w:r>
    </w:p>
    <w:p w:rsidR="0009560F" w:rsidRDefault="0009560F">
      <w:pPr>
        <w:spacing w:line="242" w:lineRule="auto"/>
        <w:jc w:val="both"/>
      </w:pPr>
    </w:p>
    <w:p w:rsidR="009A3ED2" w:rsidRDefault="009A3ED2" w:rsidP="009A3ED2">
      <w:pPr>
        <w:pStyle w:val="a5"/>
        <w:numPr>
          <w:ilvl w:val="0"/>
          <w:numId w:val="2"/>
        </w:numPr>
        <w:tabs>
          <w:tab w:val="left" w:pos="809"/>
        </w:tabs>
        <w:spacing w:line="242" w:lineRule="auto"/>
        <w:ind w:right="118" w:hanging="360"/>
        <w:jc w:val="both"/>
      </w:pPr>
      <w:r>
        <w:rPr>
          <w:color w:val="404040"/>
        </w:rPr>
        <w:t>Настоящие Условия применяются с 16 апреля 2022 года для всех абонентов, заключивших услуги связи на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условиях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350»;</w:t>
      </w:r>
    </w:p>
    <w:p w:rsidR="009A3ED2" w:rsidRDefault="009A3ED2">
      <w:pPr>
        <w:spacing w:line="242" w:lineRule="auto"/>
        <w:jc w:val="both"/>
      </w:pPr>
    </w:p>
    <w:p w:rsidR="00435416" w:rsidRPr="00435416" w:rsidRDefault="00435416" w:rsidP="00435416">
      <w:pPr>
        <w:pStyle w:val="a5"/>
        <w:numPr>
          <w:ilvl w:val="0"/>
          <w:numId w:val="2"/>
        </w:numPr>
        <w:tabs>
          <w:tab w:val="left" w:pos="809"/>
        </w:tabs>
        <w:spacing w:before="42"/>
        <w:ind w:right="117"/>
      </w:pPr>
      <w:r>
        <w:rPr>
          <w:color w:val="404040"/>
        </w:rPr>
        <w:t>Скорость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зависит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особенностей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предоставляемой «АльянсТелеком», но и от действий третьих операторов связи, организаций и лиц,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управляющих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сегментами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принадлежащих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«АльянсТелеком».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этим,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скорость доступа к Интернет указанная в тарифном плане гарантируется «АльянсТелеком» только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пределах своей сети. Скорость доступа к сети Интернет является величиной неопределенной и зависит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ряда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параметров,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числе,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характеристик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маршрута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загрузки каналов, характеристиками установленного абонентского оборудования (ПК, смартфон, </w:t>
      </w:r>
      <w:proofErr w:type="spellStart"/>
      <w:r>
        <w:rPr>
          <w:color w:val="404040"/>
        </w:rPr>
        <w:t>Wi-Fi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роутер),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версией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используемого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стандарта,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месторасположением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запрашиваемого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контента.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Указанная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тарифном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скорость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максимально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возможной.</w:t>
      </w:r>
    </w:p>
    <w:p w:rsidR="00435416" w:rsidRDefault="00435416" w:rsidP="00435416">
      <w:pPr>
        <w:pStyle w:val="a5"/>
      </w:pPr>
    </w:p>
    <w:p w:rsidR="00435416" w:rsidRDefault="00435416" w:rsidP="00435416">
      <w:pPr>
        <w:pStyle w:val="a5"/>
        <w:tabs>
          <w:tab w:val="left" w:pos="809"/>
        </w:tabs>
        <w:spacing w:before="42"/>
        <w:ind w:right="117" w:firstLine="0"/>
      </w:pPr>
    </w:p>
    <w:p w:rsidR="00435416" w:rsidRDefault="00435416" w:rsidP="007B60E6">
      <w:pPr>
        <w:tabs>
          <w:tab w:val="left" w:pos="809"/>
        </w:tabs>
        <w:spacing w:before="42"/>
        <w:ind w:left="426" w:right="117" w:firstLine="283"/>
      </w:pPr>
      <w:r>
        <w:t>* Техническая возможность подключения на тарифный план «Продвинутый 350» имеется только в домах, подключенных по технологии GPON. Для предоставления услуг доступа в Интернет технологии GPON</w:t>
      </w:r>
      <w:r w:rsidR="007B60E6">
        <w:t xml:space="preserve"> </w:t>
      </w:r>
      <w:r>
        <w:t>«АльянсТелеком» использует физическую инфраструктуру (оптические линии связи) ПАО «Ростелеком».</w:t>
      </w:r>
    </w:p>
    <w:p w:rsidR="00435416" w:rsidRDefault="00435416" w:rsidP="00435416">
      <w:pPr>
        <w:tabs>
          <w:tab w:val="left" w:pos="809"/>
        </w:tabs>
        <w:spacing w:before="42"/>
        <w:ind w:left="426" w:right="117" w:firstLine="283"/>
      </w:pPr>
      <w:r>
        <w:t>** Стоимость GPON-роутера указана на сайте inetvl.ru в разделе «Оборудование»</w:t>
      </w:r>
    </w:p>
    <w:sectPr w:rsidR="00435416" w:rsidSect="00435416">
      <w:pgSz w:w="11910" w:h="16840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454"/>
    <w:multiLevelType w:val="hybridMultilevel"/>
    <w:tmpl w:val="B226D8E4"/>
    <w:lvl w:ilvl="0" w:tplc="60BEC214">
      <w:start w:val="1"/>
      <w:numFmt w:val="lowerLetter"/>
      <w:lvlText w:val="%1."/>
      <w:lvlJc w:val="left"/>
      <w:pPr>
        <w:ind w:left="1540" w:hanging="337"/>
        <w:jc w:val="left"/>
      </w:pPr>
      <w:rPr>
        <w:rFonts w:ascii="Calibri" w:eastAsia="Calibri" w:hAnsi="Calibri" w:cs="Calibri" w:hint="default"/>
        <w:color w:val="404040"/>
        <w:spacing w:val="-2"/>
        <w:w w:val="100"/>
        <w:sz w:val="22"/>
        <w:szCs w:val="22"/>
        <w:lang w:val="ru-RU" w:eastAsia="en-US" w:bidi="ar-SA"/>
      </w:rPr>
    </w:lvl>
    <w:lvl w:ilvl="1" w:tplc="F39C34F0">
      <w:numFmt w:val="bullet"/>
      <w:lvlText w:val="•"/>
      <w:lvlJc w:val="left"/>
      <w:pPr>
        <w:ind w:left="2454" w:hanging="337"/>
      </w:pPr>
      <w:rPr>
        <w:rFonts w:hint="default"/>
        <w:lang w:val="ru-RU" w:eastAsia="en-US" w:bidi="ar-SA"/>
      </w:rPr>
    </w:lvl>
    <w:lvl w:ilvl="2" w:tplc="47982548">
      <w:numFmt w:val="bullet"/>
      <w:lvlText w:val="•"/>
      <w:lvlJc w:val="left"/>
      <w:pPr>
        <w:ind w:left="3369" w:hanging="337"/>
      </w:pPr>
      <w:rPr>
        <w:rFonts w:hint="default"/>
        <w:lang w:val="ru-RU" w:eastAsia="en-US" w:bidi="ar-SA"/>
      </w:rPr>
    </w:lvl>
    <w:lvl w:ilvl="3" w:tplc="8E445A2A">
      <w:numFmt w:val="bullet"/>
      <w:lvlText w:val="•"/>
      <w:lvlJc w:val="left"/>
      <w:pPr>
        <w:ind w:left="4284" w:hanging="337"/>
      </w:pPr>
      <w:rPr>
        <w:rFonts w:hint="default"/>
        <w:lang w:val="ru-RU" w:eastAsia="en-US" w:bidi="ar-SA"/>
      </w:rPr>
    </w:lvl>
    <w:lvl w:ilvl="4" w:tplc="77CA0760">
      <w:numFmt w:val="bullet"/>
      <w:lvlText w:val="•"/>
      <w:lvlJc w:val="left"/>
      <w:pPr>
        <w:ind w:left="5199" w:hanging="337"/>
      </w:pPr>
      <w:rPr>
        <w:rFonts w:hint="default"/>
        <w:lang w:val="ru-RU" w:eastAsia="en-US" w:bidi="ar-SA"/>
      </w:rPr>
    </w:lvl>
    <w:lvl w:ilvl="5" w:tplc="4E2EC3E2">
      <w:numFmt w:val="bullet"/>
      <w:lvlText w:val="•"/>
      <w:lvlJc w:val="left"/>
      <w:pPr>
        <w:ind w:left="6114" w:hanging="337"/>
      </w:pPr>
      <w:rPr>
        <w:rFonts w:hint="default"/>
        <w:lang w:val="ru-RU" w:eastAsia="en-US" w:bidi="ar-SA"/>
      </w:rPr>
    </w:lvl>
    <w:lvl w:ilvl="6" w:tplc="57F00468">
      <w:numFmt w:val="bullet"/>
      <w:lvlText w:val="•"/>
      <w:lvlJc w:val="left"/>
      <w:pPr>
        <w:ind w:left="7028" w:hanging="337"/>
      </w:pPr>
      <w:rPr>
        <w:rFonts w:hint="default"/>
        <w:lang w:val="ru-RU" w:eastAsia="en-US" w:bidi="ar-SA"/>
      </w:rPr>
    </w:lvl>
    <w:lvl w:ilvl="7" w:tplc="4824FE18">
      <w:numFmt w:val="bullet"/>
      <w:lvlText w:val="•"/>
      <w:lvlJc w:val="left"/>
      <w:pPr>
        <w:ind w:left="7943" w:hanging="337"/>
      </w:pPr>
      <w:rPr>
        <w:rFonts w:hint="default"/>
        <w:lang w:val="ru-RU" w:eastAsia="en-US" w:bidi="ar-SA"/>
      </w:rPr>
    </w:lvl>
    <w:lvl w:ilvl="8" w:tplc="A760A7B8">
      <w:numFmt w:val="bullet"/>
      <w:lvlText w:val="•"/>
      <w:lvlJc w:val="left"/>
      <w:pPr>
        <w:ind w:left="885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58946565"/>
    <w:multiLevelType w:val="hybridMultilevel"/>
    <w:tmpl w:val="3D206FDA"/>
    <w:lvl w:ilvl="0" w:tplc="4D4820C4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ru-RU" w:eastAsia="en-US" w:bidi="ar-SA"/>
      </w:rPr>
    </w:lvl>
    <w:lvl w:ilvl="1" w:tplc="74BCB2B4">
      <w:numFmt w:val="bullet"/>
      <w:lvlText w:val="o"/>
      <w:lvlJc w:val="left"/>
      <w:pPr>
        <w:ind w:left="1516" w:hanging="337"/>
      </w:pPr>
      <w:rPr>
        <w:rFonts w:ascii="Courier New" w:eastAsia="Courier New" w:hAnsi="Courier New" w:cs="Courier New" w:hint="default"/>
        <w:color w:val="404040"/>
        <w:w w:val="100"/>
        <w:sz w:val="22"/>
        <w:szCs w:val="22"/>
        <w:lang w:val="ru-RU" w:eastAsia="en-US" w:bidi="ar-SA"/>
      </w:rPr>
    </w:lvl>
    <w:lvl w:ilvl="2" w:tplc="56EE7870">
      <w:numFmt w:val="bullet"/>
      <w:lvlText w:val="•"/>
      <w:lvlJc w:val="left"/>
      <w:pPr>
        <w:ind w:left="2538" w:hanging="337"/>
      </w:pPr>
      <w:rPr>
        <w:rFonts w:hint="default"/>
        <w:lang w:val="ru-RU" w:eastAsia="en-US" w:bidi="ar-SA"/>
      </w:rPr>
    </w:lvl>
    <w:lvl w:ilvl="3" w:tplc="EDE0314E">
      <w:numFmt w:val="bullet"/>
      <w:lvlText w:val="•"/>
      <w:lvlJc w:val="left"/>
      <w:pPr>
        <w:ind w:left="3557" w:hanging="337"/>
      </w:pPr>
      <w:rPr>
        <w:rFonts w:hint="default"/>
        <w:lang w:val="ru-RU" w:eastAsia="en-US" w:bidi="ar-SA"/>
      </w:rPr>
    </w:lvl>
    <w:lvl w:ilvl="4" w:tplc="0022873E">
      <w:numFmt w:val="bullet"/>
      <w:lvlText w:val="•"/>
      <w:lvlJc w:val="left"/>
      <w:pPr>
        <w:ind w:left="4576" w:hanging="337"/>
      </w:pPr>
      <w:rPr>
        <w:rFonts w:hint="default"/>
        <w:lang w:val="ru-RU" w:eastAsia="en-US" w:bidi="ar-SA"/>
      </w:rPr>
    </w:lvl>
    <w:lvl w:ilvl="5" w:tplc="C456A990">
      <w:numFmt w:val="bullet"/>
      <w:lvlText w:val="•"/>
      <w:lvlJc w:val="left"/>
      <w:pPr>
        <w:ind w:left="5594" w:hanging="337"/>
      </w:pPr>
      <w:rPr>
        <w:rFonts w:hint="default"/>
        <w:lang w:val="ru-RU" w:eastAsia="en-US" w:bidi="ar-SA"/>
      </w:rPr>
    </w:lvl>
    <w:lvl w:ilvl="6" w:tplc="6FFA30C4">
      <w:numFmt w:val="bullet"/>
      <w:lvlText w:val="•"/>
      <w:lvlJc w:val="left"/>
      <w:pPr>
        <w:ind w:left="6613" w:hanging="337"/>
      </w:pPr>
      <w:rPr>
        <w:rFonts w:hint="default"/>
        <w:lang w:val="ru-RU" w:eastAsia="en-US" w:bidi="ar-SA"/>
      </w:rPr>
    </w:lvl>
    <w:lvl w:ilvl="7" w:tplc="5CAA49E2">
      <w:numFmt w:val="bullet"/>
      <w:lvlText w:val="•"/>
      <w:lvlJc w:val="left"/>
      <w:pPr>
        <w:ind w:left="7632" w:hanging="337"/>
      </w:pPr>
      <w:rPr>
        <w:rFonts w:hint="default"/>
        <w:lang w:val="ru-RU" w:eastAsia="en-US" w:bidi="ar-SA"/>
      </w:rPr>
    </w:lvl>
    <w:lvl w:ilvl="8" w:tplc="BF640B98">
      <w:numFmt w:val="bullet"/>
      <w:lvlText w:val="•"/>
      <w:lvlJc w:val="left"/>
      <w:pPr>
        <w:ind w:left="8650" w:hanging="3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560F"/>
    <w:rsid w:val="000170A7"/>
    <w:rsid w:val="0009560F"/>
    <w:rsid w:val="00126C5D"/>
    <w:rsid w:val="00333876"/>
    <w:rsid w:val="00435416"/>
    <w:rsid w:val="006213AD"/>
    <w:rsid w:val="007A5C3E"/>
    <w:rsid w:val="007B60E6"/>
    <w:rsid w:val="009A3ED2"/>
    <w:rsid w:val="009B22C3"/>
    <w:rsid w:val="00D007F5"/>
    <w:rsid w:val="00D73165"/>
    <w:rsid w:val="00D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C3C"/>
  <w15:docId w15:val="{F528ED56-6B02-4FC1-8C35-FC16F7BC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8"/>
      <w:ind w:left="2269" w:right="228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A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Кучмижак Олеся</dc:creator>
  <cp:lastModifiedBy>Оксана</cp:lastModifiedBy>
  <cp:revision>9</cp:revision>
  <dcterms:created xsi:type="dcterms:W3CDTF">2022-03-11T04:28:00Z</dcterms:created>
  <dcterms:modified xsi:type="dcterms:W3CDTF">2022-05-19T01:12:00Z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