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0F" w:rsidRDefault="00333876">
      <w:pPr>
        <w:pStyle w:val="a3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578859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9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spacing w:before="10"/>
        <w:rPr>
          <w:rFonts w:ascii="Times New Roman"/>
          <w:sz w:val="16"/>
        </w:rPr>
      </w:pPr>
    </w:p>
    <w:p w:rsidR="0009560F" w:rsidRDefault="00333876">
      <w:pPr>
        <w:pStyle w:val="a4"/>
      </w:pPr>
      <w:r>
        <w:rPr>
          <w:color w:val="404040"/>
        </w:rPr>
        <w:t>ПОЛНЫЕ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-3"/>
        </w:rPr>
        <w:t xml:space="preserve"> </w:t>
      </w:r>
      <w:r w:rsidR="00555E2E">
        <w:rPr>
          <w:color w:val="404040"/>
        </w:rPr>
        <w:t>2</w:t>
      </w:r>
      <w:r w:rsidR="00126C5D">
        <w:rPr>
          <w:color w:val="404040"/>
        </w:rPr>
        <w:t>50</w:t>
      </w:r>
      <w:r w:rsidR="00555E2E">
        <w:rPr>
          <w:color w:val="404040"/>
        </w:rPr>
        <w:t xml:space="preserve"> 2.0</w:t>
      </w:r>
      <w:r>
        <w:rPr>
          <w:color w:val="404040"/>
        </w:rPr>
        <w:t>»</w:t>
      </w:r>
    </w:p>
    <w:p w:rsidR="0009560F" w:rsidRDefault="0009560F">
      <w:pPr>
        <w:pStyle w:val="a3"/>
        <w:rPr>
          <w:b/>
        </w:r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28" w:hanging="360"/>
        <w:jc w:val="both"/>
      </w:pPr>
      <w:r>
        <w:rPr>
          <w:color w:val="404040"/>
        </w:rPr>
        <w:t>Тариф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6213AD">
        <w:rPr>
          <w:color w:val="404040"/>
        </w:rPr>
        <w:t>250 2.0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предложение,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подразумевающее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оказание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услуг: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71" w:lineRule="exact"/>
      </w:pPr>
      <w:r>
        <w:rPr>
          <w:color w:val="404040"/>
        </w:rPr>
        <w:t>телематических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Интернет);</w:t>
      </w:r>
    </w:p>
    <w:p w:rsidR="0009560F" w:rsidRDefault="006213AD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телематические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 xml:space="preserve">Интернет) </w:t>
      </w:r>
      <w:r w:rsidR="00333876">
        <w:rPr>
          <w:color w:val="404040"/>
        </w:rPr>
        <w:t>«Продвинутый</w:t>
      </w:r>
      <w:r w:rsidR="00333876">
        <w:rPr>
          <w:color w:val="404040"/>
          <w:spacing w:val="-5"/>
        </w:rPr>
        <w:t xml:space="preserve"> </w:t>
      </w:r>
      <w:r>
        <w:rPr>
          <w:color w:val="404040"/>
        </w:rPr>
        <w:t>25</w:t>
      </w:r>
      <w:r w:rsidR="000170A7">
        <w:rPr>
          <w:color w:val="404040"/>
        </w:rPr>
        <w:t>0</w:t>
      </w:r>
      <w:r>
        <w:rPr>
          <w:color w:val="404040"/>
        </w:rPr>
        <w:t xml:space="preserve"> 2.0</w:t>
      </w:r>
      <w:r w:rsidR="00333876">
        <w:rPr>
          <w:color w:val="404040"/>
        </w:rPr>
        <w:t>»</w:t>
      </w:r>
      <w:r w:rsidR="00333876">
        <w:rPr>
          <w:color w:val="404040"/>
          <w:spacing w:val="-2"/>
        </w:rPr>
        <w:t xml:space="preserve"> </w:t>
      </w:r>
      <w:r w:rsidR="00333876">
        <w:rPr>
          <w:color w:val="404040"/>
        </w:rPr>
        <w:t>оказыва</w:t>
      </w:r>
      <w:r w:rsidR="00343B04">
        <w:rPr>
          <w:color w:val="404040"/>
        </w:rPr>
        <w:t>ю</w:t>
      </w:r>
      <w:r w:rsidR="00333876">
        <w:rPr>
          <w:color w:val="404040"/>
        </w:rPr>
        <w:t>тся</w:t>
      </w:r>
      <w:r w:rsidR="00333876">
        <w:rPr>
          <w:color w:val="404040"/>
          <w:spacing w:val="-6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абоненту,</w:t>
      </w:r>
      <w:r w:rsidR="00333876">
        <w:rPr>
          <w:color w:val="404040"/>
          <w:spacing w:val="-4"/>
        </w:rPr>
        <w:t xml:space="preserve"> </w:t>
      </w:r>
      <w:r w:rsidR="00333876">
        <w:rPr>
          <w:color w:val="404040"/>
        </w:rPr>
        <w:t>по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2"/>
        </w:rPr>
        <w:t xml:space="preserve"> </w:t>
      </w:r>
      <w:r w:rsidR="00333876">
        <w:rPr>
          <w:color w:val="404040"/>
        </w:rPr>
        <w:t>адресу.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9" w:hanging="360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 w:rsidR="00343B04">
        <w:rPr>
          <w:color w:val="404040"/>
        </w:rPr>
        <w:t xml:space="preserve"> предоставляе</w:t>
      </w:r>
      <w:r>
        <w:rPr>
          <w:color w:val="404040"/>
        </w:rPr>
        <w:t>тся только абонентам – физическим лицам, использующим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для личного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пользования, не связанного с предпринимательской либо иной экономической 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деятельностью.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7" w:lineRule="exact"/>
        <w:ind w:left="808" w:hanging="349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предоставля</w:t>
      </w:r>
      <w:r w:rsidR="006213AD">
        <w:rPr>
          <w:color w:val="404040"/>
        </w:rPr>
        <w:t>е</w:t>
      </w:r>
      <w:r>
        <w:rPr>
          <w:color w:val="404040"/>
        </w:rPr>
        <w:t>тся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адресам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наличием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-6"/>
        </w:rPr>
        <w:t xml:space="preserve"> </w:t>
      </w:r>
      <w:proofErr w:type="gramStart"/>
      <w:r>
        <w:rPr>
          <w:color w:val="404040"/>
        </w:rPr>
        <w:t>подключения.*</w:t>
      </w:r>
      <w:proofErr w:type="gramEnd"/>
    </w:p>
    <w:p w:rsidR="0009560F" w:rsidRDefault="00333876">
      <w:pPr>
        <w:pStyle w:val="a5"/>
        <w:numPr>
          <w:ilvl w:val="0"/>
          <w:numId w:val="2"/>
        </w:numPr>
        <w:tabs>
          <w:tab w:val="left" w:pos="857"/>
        </w:tabs>
        <w:ind w:right="119" w:hanging="360"/>
        <w:jc w:val="both"/>
      </w:pPr>
      <w:r>
        <w:rPr>
          <w:color w:val="404040"/>
        </w:rPr>
        <w:t>Абонентская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6213AD">
        <w:rPr>
          <w:color w:val="404040"/>
        </w:rPr>
        <w:t>250 2.0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1"/>
        </w:rPr>
        <w:t xml:space="preserve"> </w:t>
      </w:r>
      <w:r w:rsidR="00BD08FF">
        <w:rPr>
          <w:color w:val="404040"/>
        </w:rPr>
        <w:t>7</w:t>
      </w:r>
      <w:r w:rsidR="006213AD">
        <w:rPr>
          <w:color w:val="404040"/>
        </w:rPr>
        <w:t>00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BD08FF">
        <w:rPr>
          <w:color w:val="404040"/>
        </w:rPr>
        <w:t>семь</w:t>
      </w:r>
      <w:r w:rsidR="006213AD">
        <w:rPr>
          <w:color w:val="404040"/>
        </w:rPr>
        <w:t>сот</w:t>
      </w:r>
      <w:r>
        <w:rPr>
          <w:color w:val="404040"/>
        </w:rPr>
        <w:t>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месяц, включая НДС, и является фиксированной величиной. </w:t>
      </w:r>
      <w:bookmarkStart w:id="0" w:name="_GoBack"/>
      <w:bookmarkEnd w:id="0"/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>
        <w:rPr>
          <w:color w:val="404040"/>
        </w:rPr>
        <w:t>Для подключения к тарифу абонент должен внести авансовый платеж за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Оператора в размере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 менее 1 200 (одна тысяча двести) рублей в момент заключения Договора. Вся сумма авансового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платежа будет зачислена на Лицевой Счет абонента и использована для списания абонентской платы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 тарифу. Списание абонентской платы происходит ежедневно, равными долями, пропорционально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количеству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месяце;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требуемого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оборудования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прочих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 дополнительно.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тариф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(ноль)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рублей.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before="1" w:line="268" w:lineRule="exact"/>
        <w:ind w:left="808" w:hanging="349"/>
      </w:pPr>
      <w:r>
        <w:rPr>
          <w:color w:val="404040"/>
        </w:rPr>
        <w:t>Для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необходим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GPON-</w:t>
      </w:r>
      <w:proofErr w:type="gramStart"/>
      <w:r>
        <w:rPr>
          <w:color w:val="404040"/>
        </w:rPr>
        <w:t>роутер.*</w:t>
      </w:r>
      <w:proofErr w:type="gramEnd"/>
      <w:r>
        <w:rPr>
          <w:color w:val="404040"/>
        </w:rPr>
        <w:t>*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Оборудование,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необходимое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получения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(GPON-роутер),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приобретен</w:t>
      </w:r>
      <w:r w:rsidR="00854BB7"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действующим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ценам.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переезде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пользующегося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6213AD">
        <w:rPr>
          <w:color w:val="404040"/>
        </w:rPr>
        <w:t>2</w:t>
      </w:r>
      <w:r>
        <w:rPr>
          <w:color w:val="404040"/>
        </w:rPr>
        <w:t>50</w:t>
      </w:r>
      <w:r w:rsidR="006213AD">
        <w:rPr>
          <w:color w:val="404040"/>
        </w:rPr>
        <w:t xml:space="preserve"> 2.0</w:t>
      </w:r>
      <w:r>
        <w:rPr>
          <w:color w:val="404040"/>
        </w:rPr>
        <w:t>»,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новый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адрес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отсутствием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</w:rPr>
        <w:t>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составляющ</w:t>
      </w:r>
      <w:r w:rsidR="006213AD">
        <w:rPr>
          <w:color w:val="404040"/>
        </w:rPr>
        <w:t>ей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тариф</w:t>
      </w:r>
    </w:p>
    <w:p w:rsidR="0009560F" w:rsidRDefault="00333876">
      <w:pPr>
        <w:pStyle w:val="a3"/>
        <w:spacing w:before="1" w:line="268" w:lineRule="exact"/>
        <w:ind w:left="820"/>
      </w:pPr>
      <w:r>
        <w:rPr>
          <w:color w:val="404040"/>
        </w:rPr>
        <w:t>«Продвинутый</w:t>
      </w:r>
      <w:r>
        <w:rPr>
          <w:color w:val="404040"/>
          <w:spacing w:val="-6"/>
        </w:rPr>
        <w:t xml:space="preserve"> </w:t>
      </w:r>
      <w:r w:rsidR="006213AD">
        <w:rPr>
          <w:color w:val="404040"/>
        </w:rPr>
        <w:t>2</w:t>
      </w:r>
      <w:r w:rsidR="00126C5D">
        <w:rPr>
          <w:color w:val="404040"/>
          <w:lang w:val="en-US"/>
        </w:rPr>
        <w:t>50</w:t>
      </w:r>
      <w:r w:rsidR="006213AD">
        <w:rPr>
          <w:color w:val="404040"/>
        </w:rPr>
        <w:t xml:space="preserve"> 2.0</w:t>
      </w:r>
      <w:r>
        <w:rPr>
          <w:color w:val="404040"/>
        </w:rPr>
        <w:t>»,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производится</w:t>
      </w:r>
    </w:p>
    <w:p w:rsidR="0009560F" w:rsidRDefault="00333876">
      <w:pPr>
        <w:pStyle w:val="a5"/>
        <w:numPr>
          <w:ilvl w:val="0"/>
          <w:numId w:val="1"/>
        </w:numPr>
        <w:tabs>
          <w:tab w:val="left" w:pos="1517"/>
        </w:tabs>
        <w:ind w:right="126" w:hanging="360"/>
        <w:jc w:val="both"/>
      </w:pPr>
      <w:r>
        <w:rPr>
          <w:color w:val="404040"/>
        </w:rPr>
        <w:t>расторжение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договора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невозможности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(телематические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связи);</w:t>
      </w:r>
    </w:p>
    <w:p w:rsidR="00854BB7" w:rsidRPr="00854BB7" w:rsidRDefault="00854BB7" w:rsidP="00854BB7">
      <w:pPr>
        <w:pStyle w:val="a5"/>
        <w:numPr>
          <w:ilvl w:val="0"/>
          <w:numId w:val="2"/>
        </w:numPr>
        <w:tabs>
          <w:tab w:val="left" w:pos="809"/>
        </w:tabs>
        <w:spacing w:before="42"/>
        <w:ind w:right="117" w:hanging="360"/>
        <w:jc w:val="both"/>
      </w:pPr>
      <w:r>
        <w:rPr>
          <w:color w:val="404040"/>
        </w:rPr>
        <w:t>Скорость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зависит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особенностей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предоставляемой «АльянсТелеком», но и от действий третьих операторов связи, организаций и лиц,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управляющих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сегментами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принадлежащих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«АльянсТелеком».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этим,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скорость доступа к Интернет указанная в тарифном плане гарантируется «АльянсТелеком» только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пределах своей сети. Скорость доступа к сети Интернет является величиной неопределенной и зависит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ряда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параметров,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числе,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характеристик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маршрута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загрузки каналов, характеристиками установленного абонентского оборудования (ПК, смартфон, </w:t>
      </w:r>
      <w:proofErr w:type="spellStart"/>
      <w:r>
        <w:rPr>
          <w:color w:val="404040"/>
        </w:rPr>
        <w:t>Wi-Fi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роутер),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версией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используемого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стандарта,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месторасположением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запрашиваемого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контента.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Указанная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тарифном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скорость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максимально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возможной.</w:t>
      </w:r>
    </w:p>
    <w:p w:rsidR="00854BB7" w:rsidRDefault="00854BB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FE5EF7" w:rsidRDefault="00FE5EF7" w:rsidP="00854BB7">
      <w:pPr>
        <w:pStyle w:val="a5"/>
        <w:tabs>
          <w:tab w:val="left" w:pos="809"/>
        </w:tabs>
        <w:spacing w:before="42"/>
        <w:ind w:right="117" w:firstLine="0"/>
        <w:jc w:val="left"/>
      </w:pPr>
    </w:p>
    <w:p w:rsidR="0009560F" w:rsidRDefault="0009560F">
      <w:pPr>
        <w:spacing w:line="242" w:lineRule="auto"/>
        <w:jc w:val="both"/>
      </w:pPr>
    </w:p>
    <w:p w:rsidR="00854BB7" w:rsidRDefault="00854BB7" w:rsidP="00FE5EF7">
      <w:pPr>
        <w:pStyle w:val="a3"/>
        <w:ind w:left="709" w:right="88"/>
      </w:pPr>
      <w:r>
        <w:rPr>
          <w:color w:val="404040"/>
        </w:rPr>
        <w:t>*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возможность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250 2.0»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имеется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домах,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подключенных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технологии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GPON.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предоставления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технологии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GPON</w:t>
      </w:r>
      <w:r w:rsidR="00FE5EF7">
        <w:t xml:space="preserve"> </w:t>
      </w:r>
      <w:r>
        <w:rPr>
          <w:color w:val="404040"/>
        </w:rPr>
        <w:t>«АльянсТелеком»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использует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физическую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инфраструктуру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(оптические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линии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связи) ПАО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«Ростелеком».</w:t>
      </w:r>
    </w:p>
    <w:p w:rsidR="00854BB7" w:rsidRDefault="00854BB7" w:rsidP="00854BB7">
      <w:pPr>
        <w:pStyle w:val="a3"/>
        <w:spacing w:line="268" w:lineRule="exact"/>
        <w:ind w:left="709"/>
      </w:pPr>
      <w:r>
        <w:rPr>
          <w:color w:val="404040"/>
        </w:rPr>
        <w:t>**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GPON-роутера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указана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сайте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inetvl.ru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разделе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«Оборудование».</w:t>
      </w:r>
    </w:p>
    <w:p w:rsidR="0009560F" w:rsidRDefault="0009560F">
      <w:pPr>
        <w:pStyle w:val="a3"/>
        <w:spacing w:before="5"/>
      </w:pPr>
    </w:p>
    <w:sectPr w:rsidR="0009560F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454"/>
    <w:multiLevelType w:val="hybridMultilevel"/>
    <w:tmpl w:val="B226D8E4"/>
    <w:lvl w:ilvl="0" w:tplc="60BEC214">
      <w:start w:val="1"/>
      <w:numFmt w:val="lowerLetter"/>
      <w:lvlText w:val="%1."/>
      <w:lvlJc w:val="left"/>
      <w:pPr>
        <w:ind w:left="1540" w:hanging="337"/>
        <w:jc w:val="left"/>
      </w:pPr>
      <w:rPr>
        <w:rFonts w:ascii="Calibri" w:eastAsia="Calibri" w:hAnsi="Calibri" w:cs="Calibri" w:hint="default"/>
        <w:color w:val="404040"/>
        <w:spacing w:val="-2"/>
        <w:w w:val="100"/>
        <w:sz w:val="22"/>
        <w:szCs w:val="22"/>
        <w:lang w:val="ru-RU" w:eastAsia="en-US" w:bidi="ar-SA"/>
      </w:rPr>
    </w:lvl>
    <w:lvl w:ilvl="1" w:tplc="F39C34F0">
      <w:numFmt w:val="bullet"/>
      <w:lvlText w:val="•"/>
      <w:lvlJc w:val="left"/>
      <w:pPr>
        <w:ind w:left="2454" w:hanging="337"/>
      </w:pPr>
      <w:rPr>
        <w:rFonts w:hint="default"/>
        <w:lang w:val="ru-RU" w:eastAsia="en-US" w:bidi="ar-SA"/>
      </w:rPr>
    </w:lvl>
    <w:lvl w:ilvl="2" w:tplc="47982548">
      <w:numFmt w:val="bullet"/>
      <w:lvlText w:val="•"/>
      <w:lvlJc w:val="left"/>
      <w:pPr>
        <w:ind w:left="3369" w:hanging="337"/>
      </w:pPr>
      <w:rPr>
        <w:rFonts w:hint="default"/>
        <w:lang w:val="ru-RU" w:eastAsia="en-US" w:bidi="ar-SA"/>
      </w:rPr>
    </w:lvl>
    <w:lvl w:ilvl="3" w:tplc="8E445A2A">
      <w:numFmt w:val="bullet"/>
      <w:lvlText w:val="•"/>
      <w:lvlJc w:val="left"/>
      <w:pPr>
        <w:ind w:left="4284" w:hanging="337"/>
      </w:pPr>
      <w:rPr>
        <w:rFonts w:hint="default"/>
        <w:lang w:val="ru-RU" w:eastAsia="en-US" w:bidi="ar-SA"/>
      </w:rPr>
    </w:lvl>
    <w:lvl w:ilvl="4" w:tplc="77CA0760">
      <w:numFmt w:val="bullet"/>
      <w:lvlText w:val="•"/>
      <w:lvlJc w:val="left"/>
      <w:pPr>
        <w:ind w:left="5199" w:hanging="337"/>
      </w:pPr>
      <w:rPr>
        <w:rFonts w:hint="default"/>
        <w:lang w:val="ru-RU" w:eastAsia="en-US" w:bidi="ar-SA"/>
      </w:rPr>
    </w:lvl>
    <w:lvl w:ilvl="5" w:tplc="4E2EC3E2">
      <w:numFmt w:val="bullet"/>
      <w:lvlText w:val="•"/>
      <w:lvlJc w:val="left"/>
      <w:pPr>
        <w:ind w:left="6114" w:hanging="337"/>
      </w:pPr>
      <w:rPr>
        <w:rFonts w:hint="default"/>
        <w:lang w:val="ru-RU" w:eastAsia="en-US" w:bidi="ar-SA"/>
      </w:rPr>
    </w:lvl>
    <w:lvl w:ilvl="6" w:tplc="57F00468">
      <w:numFmt w:val="bullet"/>
      <w:lvlText w:val="•"/>
      <w:lvlJc w:val="left"/>
      <w:pPr>
        <w:ind w:left="7028" w:hanging="337"/>
      </w:pPr>
      <w:rPr>
        <w:rFonts w:hint="default"/>
        <w:lang w:val="ru-RU" w:eastAsia="en-US" w:bidi="ar-SA"/>
      </w:rPr>
    </w:lvl>
    <w:lvl w:ilvl="7" w:tplc="4824FE18">
      <w:numFmt w:val="bullet"/>
      <w:lvlText w:val="•"/>
      <w:lvlJc w:val="left"/>
      <w:pPr>
        <w:ind w:left="7943" w:hanging="337"/>
      </w:pPr>
      <w:rPr>
        <w:rFonts w:hint="default"/>
        <w:lang w:val="ru-RU" w:eastAsia="en-US" w:bidi="ar-SA"/>
      </w:rPr>
    </w:lvl>
    <w:lvl w:ilvl="8" w:tplc="A760A7B8">
      <w:numFmt w:val="bullet"/>
      <w:lvlText w:val="•"/>
      <w:lvlJc w:val="left"/>
      <w:pPr>
        <w:ind w:left="885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58946565"/>
    <w:multiLevelType w:val="hybridMultilevel"/>
    <w:tmpl w:val="23F8684A"/>
    <w:lvl w:ilvl="0" w:tplc="4D4820C4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ru-RU" w:eastAsia="en-US" w:bidi="ar-SA"/>
      </w:rPr>
    </w:lvl>
    <w:lvl w:ilvl="1" w:tplc="74BCB2B4">
      <w:numFmt w:val="bullet"/>
      <w:lvlText w:val="o"/>
      <w:lvlJc w:val="left"/>
      <w:pPr>
        <w:ind w:left="1516" w:hanging="337"/>
      </w:pPr>
      <w:rPr>
        <w:rFonts w:ascii="Courier New" w:eastAsia="Courier New" w:hAnsi="Courier New" w:cs="Courier New" w:hint="default"/>
        <w:color w:val="404040"/>
        <w:w w:val="100"/>
        <w:sz w:val="22"/>
        <w:szCs w:val="22"/>
        <w:lang w:val="ru-RU" w:eastAsia="en-US" w:bidi="ar-SA"/>
      </w:rPr>
    </w:lvl>
    <w:lvl w:ilvl="2" w:tplc="56EE7870">
      <w:numFmt w:val="bullet"/>
      <w:lvlText w:val="•"/>
      <w:lvlJc w:val="left"/>
      <w:pPr>
        <w:ind w:left="2538" w:hanging="337"/>
      </w:pPr>
      <w:rPr>
        <w:rFonts w:hint="default"/>
        <w:lang w:val="ru-RU" w:eastAsia="en-US" w:bidi="ar-SA"/>
      </w:rPr>
    </w:lvl>
    <w:lvl w:ilvl="3" w:tplc="EDE0314E">
      <w:numFmt w:val="bullet"/>
      <w:lvlText w:val="•"/>
      <w:lvlJc w:val="left"/>
      <w:pPr>
        <w:ind w:left="3557" w:hanging="337"/>
      </w:pPr>
      <w:rPr>
        <w:rFonts w:hint="default"/>
        <w:lang w:val="ru-RU" w:eastAsia="en-US" w:bidi="ar-SA"/>
      </w:rPr>
    </w:lvl>
    <w:lvl w:ilvl="4" w:tplc="0022873E">
      <w:numFmt w:val="bullet"/>
      <w:lvlText w:val="•"/>
      <w:lvlJc w:val="left"/>
      <w:pPr>
        <w:ind w:left="4576" w:hanging="337"/>
      </w:pPr>
      <w:rPr>
        <w:rFonts w:hint="default"/>
        <w:lang w:val="ru-RU" w:eastAsia="en-US" w:bidi="ar-SA"/>
      </w:rPr>
    </w:lvl>
    <w:lvl w:ilvl="5" w:tplc="C456A990">
      <w:numFmt w:val="bullet"/>
      <w:lvlText w:val="•"/>
      <w:lvlJc w:val="left"/>
      <w:pPr>
        <w:ind w:left="5594" w:hanging="337"/>
      </w:pPr>
      <w:rPr>
        <w:rFonts w:hint="default"/>
        <w:lang w:val="ru-RU" w:eastAsia="en-US" w:bidi="ar-SA"/>
      </w:rPr>
    </w:lvl>
    <w:lvl w:ilvl="6" w:tplc="6FFA30C4">
      <w:numFmt w:val="bullet"/>
      <w:lvlText w:val="•"/>
      <w:lvlJc w:val="left"/>
      <w:pPr>
        <w:ind w:left="6613" w:hanging="337"/>
      </w:pPr>
      <w:rPr>
        <w:rFonts w:hint="default"/>
        <w:lang w:val="ru-RU" w:eastAsia="en-US" w:bidi="ar-SA"/>
      </w:rPr>
    </w:lvl>
    <w:lvl w:ilvl="7" w:tplc="5CAA49E2">
      <w:numFmt w:val="bullet"/>
      <w:lvlText w:val="•"/>
      <w:lvlJc w:val="left"/>
      <w:pPr>
        <w:ind w:left="7632" w:hanging="337"/>
      </w:pPr>
      <w:rPr>
        <w:rFonts w:hint="default"/>
        <w:lang w:val="ru-RU" w:eastAsia="en-US" w:bidi="ar-SA"/>
      </w:rPr>
    </w:lvl>
    <w:lvl w:ilvl="8" w:tplc="BF640B98">
      <w:numFmt w:val="bullet"/>
      <w:lvlText w:val="•"/>
      <w:lvlJc w:val="left"/>
      <w:pPr>
        <w:ind w:left="8650" w:hanging="3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F"/>
    <w:rsid w:val="000170A7"/>
    <w:rsid w:val="0009560F"/>
    <w:rsid w:val="00126C5D"/>
    <w:rsid w:val="00333876"/>
    <w:rsid w:val="00343B04"/>
    <w:rsid w:val="00555E2E"/>
    <w:rsid w:val="006213AD"/>
    <w:rsid w:val="007A5C3E"/>
    <w:rsid w:val="00854BB7"/>
    <w:rsid w:val="00BD08FF"/>
    <w:rsid w:val="00D73165"/>
    <w:rsid w:val="00D746B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6CA2"/>
  <w15:docId w15:val="{F528ED56-6B02-4FC1-8C35-FC16F7BC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8"/>
      <w:ind w:left="2269" w:right="228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A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Кучмижак Олеся</dc:creator>
  <cp:lastModifiedBy>Оксана</cp:lastModifiedBy>
  <cp:revision>6</cp:revision>
  <dcterms:created xsi:type="dcterms:W3CDTF">2022-04-28T05:04:00Z</dcterms:created>
  <dcterms:modified xsi:type="dcterms:W3CDTF">2022-09-14T23:45:00Z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